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7D3B" w14:textId="173DC63D" w:rsidR="003518A9" w:rsidRDefault="003518A9">
      <w:pPr>
        <w:rPr>
          <w:noProof/>
        </w:rPr>
      </w:pPr>
    </w:p>
    <w:p w14:paraId="69BB33E3" w14:textId="68A7B22C" w:rsidR="009D7ED6" w:rsidRDefault="009D7ED6">
      <w:r>
        <w:rPr>
          <w:noProof/>
        </w:rPr>
        <w:drawing>
          <wp:inline distT="0" distB="0" distL="0" distR="0" wp14:anchorId="1672C7D5" wp14:editId="2E28BE6D">
            <wp:extent cx="2352675" cy="1657350"/>
            <wp:effectExtent l="0" t="0" r="0" b="0"/>
            <wp:docPr id="1873371889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71889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8EE5" w14:textId="77777777" w:rsidR="003518A9" w:rsidRPr="003518A9" w:rsidRDefault="003518A9" w:rsidP="003518A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18A9">
        <w:rPr>
          <w:rFonts w:ascii="Arial" w:hAnsi="Arial" w:cs="Arial"/>
          <w:b/>
          <w:bCs/>
          <w:sz w:val="24"/>
          <w:szCs w:val="24"/>
          <w:u w:val="single"/>
        </w:rPr>
        <w:t xml:space="preserve">UNIDAD DE TRANSPARENCIA Y ACCESO A LA INFORMACIÓN PUBLICA GUBERNAMENTAL </w:t>
      </w:r>
    </w:p>
    <w:p w14:paraId="539E1AE1" w14:textId="68594AFC" w:rsidR="003518A9" w:rsidRDefault="003518A9" w:rsidP="003518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18A9">
        <w:rPr>
          <w:rFonts w:ascii="Arial" w:hAnsi="Arial" w:cs="Arial"/>
          <w:b/>
          <w:bCs/>
          <w:sz w:val="24"/>
          <w:szCs w:val="24"/>
        </w:rPr>
        <w:t xml:space="preserve">LEY DE TRANSPARENCIA Y ACCESO A LA INFORMACIÓN PÚBLICA PARA EL ESTADO DE HIDALGO. </w:t>
      </w:r>
    </w:p>
    <w:p w14:paraId="667C7C4E" w14:textId="092B0CFE" w:rsidR="003518A9" w:rsidRDefault="003518A9" w:rsidP="003518A9">
      <w:pPr>
        <w:jc w:val="center"/>
      </w:pPr>
      <w:r w:rsidRPr="003518A9">
        <w:rPr>
          <w:rFonts w:ascii="Arial" w:hAnsi="Arial" w:cs="Arial"/>
          <w:b/>
          <w:bCs/>
          <w:sz w:val="24"/>
          <w:szCs w:val="24"/>
        </w:rPr>
        <w:t>ÚLTIMA REFORMA PÚBLICADA EN ALCANCE CUATRO DEL PERIÓDICO OFICIAL, EL 28 DE JULIO DE 2021.</w:t>
      </w:r>
    </w:p>
    <w:p w14:paraId="6F7F8141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CAPÍTULO III DE LAS UNIDADES DE TRANSPARENCIA Artículo 41. </w:t>
      </w:r>
    </w:p>
    <w:p w14:paraId="3E493C16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Los Titulares de los sujetos obligados establecerán una Unidad de Transparencia, procurando que, quien funja como titular o responsable tenga conocimiento de la materia. </w:t>
      </w:r>
    </w:p>
    <w:p w14:paraId="101E0388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El titular o responsable de la Unidad de Transparencia tendrá las siguientes funciones: </w:t>
      </w:r>
    </w:p>
    <w:p w14:paraId="6CCFA4D0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I.- Recabar y difundir la información a que se refieren los Capítulos II, III y IV del Título Cuarto de esta Ley y propiciar que las áreas la actualicen periódicamente, conforme la normatividad aplicable; II.- Recibir y dar trámite a las solicitudes de acceso a la información; </w:t>
      </w:r>
    </w:p>
    <w:p w14:paraId="1E12C6C8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III.- Auxiliar a los particulares en la elaboración de solicitudes de acceso a la información y en su caso, orientarlos sobre los sujetos obligados competentes conforme a la normatividad aplicable; IV.- Realizar los trámites internos necesarios para la atención de las solicitudes de acceso a la información, conforme a la normatividad aplicable; </w:t>
      </w:r>
    </w:p>
    <w:p w14:paraId="019E60AF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V.- Efectuar las notificaciones a los solicitantes; </w:t>
      </w:r>
    </w:p>
    <w:p w14:paraId="572DF212" w14:textId="77777777" w:rsidR="009D7ED6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VI.- Proponer al Comité de Transparencia los procedimientos internos que aseguren la mayor eficiencia en la gestión de las </w:t>
      </w:r>
    </w:p>
    <w:p w14:paraId="2CECC5E7" w14:textId="77777777" w:rsidR="009D7ED6" w:rsidRDefault="009D7ED6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0CC614E" w14:textId="77777777" w:rsidR="009D7ED6" w:rsidRDefault="009D7ED6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059B340E" w14:textId="77777777" w:rsidR="009D7ED6" w:rsidRDefault="009D7ED6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0C586F8" w14:textId="0BBDA623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solicitudes de acceso a la información, conforme a la normatividad aplicable; </w:t>
      </w:r>
    </w:p>
    <w:p w14:paraId="5D6F71FF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VII.- Proponer personal habilitado que sea necesario para recibir y dar trámite a las solicitudes de acceso a la información; </w:t>
      </w:r>
    </w:p>
    <w:p w14:paraId="057B1621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VIII. Llevar un registro de las solicitudes de acceso a la información, respuestas, resultados, costos de reproducción y envío, mismo que publicarán en el apartado que el sujeto obligado determine para tal efecto, observando lo dispuesto en la materia de protección de datos personales; </w:t>
      </w:r>
    </w:p>
    <w:p w14:paraId="264F5940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IX.- Promover e implementar políticas de transparencia proactiva procurando su accesibilidad; </w:t>
      </w:r>
    </w:p>
    <w:p w14:paraId="51F1AC39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X.- Fomentar la transparencia y accesibilidad al interior del sujeto obligado; </w:t>
      </w:r>
    </w:p>
    <w:p w14:paraId="375E16CE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XI.- Hacer del conocimiento de la instancia competente la probable responsabilidad por el incumplimiento de las obligaciones previstas en la presente Ley y en las demás disposiciones aplicables; </w:t>
      </w:r>
    </w:p>
    <w:p w14:paraId="7D994289" w14:textId="5F1F47F8" w:rsidR="001E3335" w:rsidRP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>y XII.-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3518A9">
        <w:rPr>
          <w:rFonts w:ascii="Century Gothic" w:hAnsi="Century Gothic"/>
          <w:b/>
          <w:bCs/>
          <w:sz w:val="28"/>
          <w:szCs w:val="28"/>
        </w:rPr>
        <w:t>Las demás que se desprendan de la normatividad aplicable. Los sujetos obligados promoverán acuerdos con instituciones públicas especializadas que pudieran auxiliarles a entregar las repuestas a solicitudes de información, en la lengua indígena, braille o cualquier formato accesible correspondiente, en forma más eficient</w:t>
      </w:r>
      <w:r>
        <w:rPr>
          <w:rFonts w:ascii="Century Gothic" w:hAnsi="Century Gothic"/>
          <w:b/>
          <w:bCs/>
          <w:sz w:val="28"/>
          <w:szCs w:val="28"/>
        </w:rPr>
        <w:t>e.</w:t>
      </w:r>
    </w:p>
    <w:sectPr w:rsidR="001E3335" w:rsidRPr="003518A9" w:rsidSect="009D7ED6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9"/>
    <w:rsid w:val="001E3335"/>
    <w:rsid w:val="003518A9"/>
    <w:rsid w:val="006C4ABC"/>
    <w:rsid w:val="007757EF"/>
    <w:rsid w:val="009D7ED6"/>
    <w:rsid w:val="00A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1E37"/>
  <w15:chartTrackingRefBased/>
  <w15:docId w15:val="{97E9A7F3-AA60-4D9D-BFA7-464CF737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Isela Martínez Anaya</dc:creator>
  <cp:keywords/>
  <dc:description/>
  <cp:lastModifiedBy>Isela Martínez Anaya</cp:lastModifiedBy>
  <cp:revision>2</cp:revision>
  <dcterms:created xsi:type="dcterms:W3CDTF">2024-11-02T17:54:00Z</dcterms:created>
  <dcterms:modified xsi:type="dcterms:W3CDTF">2024-11-02T17:54:00Z</dcterms:modified>
</cp:coreProperties>
</file>